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77" w:type="dxa"/>
        <w:tblInd w:w="-289" w:type="dxa"/>
        <w:tblLook w:val="04A0" w:firstRow="1" w:lastRow="0" w:firstColumn="1" w:lastColumn="0" w:noHBand="0" w:noVBand="1"/>
      </w:tblPr>
      <w:tblGrid>
        <w:gridCol w:w="5949"/>
        <w:gridCol w:w="8528"/>
      </w:tblGrid>
      <w:tr w:rsidR="00CC4EC9" w14:paraId="0220B4F4" w14:textId="77777777" w:rsidTr="005D5B62">
        <w:tc>
          <w:tcPr>
            <w:tcW w:w="5949" w:type="dxa"/>
          </w:tcPr>
          <w:p w14:paraId="695E8982" w14:textId="77777777" w:rsidR="00CC4EC9" w:rsidRPr="00CC4EC9" w:rsidRDefault="00CC4EC9">
            <w:pPr>
              <w:rPr>
                <w:rFonts w:ascii="Arial" w:hAnsi="Arial" w:cs="Arial"/>
                <w:b/>
                <w:sz w:val="24"/>
                <w:szCs w:val="24"/>
              </w:rPr>
            </w:pPr>
            <w:r w:rsidRPr="00CC4EC9">
              <w:rPr>
                <w:rFonts w:ascii="Arial" w:hAnsi="Arial" w:cs="Arial"/>
                <w:b/>
                <w:sz w:val="24"/>
                <w:szCs w:val="24"/>
              </w:rPr>
              <w:t xml:space="preserve">Questions </w:t>
            </w:r>
          </w:p>
        </w:tc>
        <w:tc>
          <w:tcPr>
            <w:tcW w:w="8528" w:type="dxa"/>
          </w:tcPr>
          <w:p w14:paraId="6ACE29A6" w14:textId="77777777" w:rsidR="00CC4EC9" w:rsidRPr="00CC4EC9" w:rsidRDefault="00CC4EC9" w:rsidP="005D5B62">
            <w:pPr>
              <w:rPr>
                <w:rFonts w:ascii="Arial" w:eastAsia="Times New Roman" w:hAnsi="Arial" w:cs="Arial"/>
                <w:b/>
                <w:bCs/>
                <w:sz w:val="24"/>
                <w:szCs w:val="24"/>
              </w:rPr>
            </w:pPr>
            <w:r w:rsidRPr="00CC4EC9">
              <w:rPr>
                <w:rFonts w:ascii="Arial" w:eastAsia="Times New Roman" w:hAnsi="Arial" w:cs="Arial"/>
                <w:b/>
                <w:bCs/>
                <w:sz w:val="24"/>
                <w:szCs w:val="24"/>
              </w:rPr>
              <w:t>Answers</w:t>
            </w:r>
          </w:p>
        </w:tc>
      </w:tr>
      <w:tr w:rsidR="005D5B62" w14:paraId="7EFE07FB" w14:textId="77777777" w:rsidTr="005D5B62">
        <w:tc>
          <w:tcPr>
            <w:tcW w:w="5949" w:type="dxa"/>
          </w:tcPr>
          <w:p w14:paraId="3BCA9AA1" w14:textId="77777777" w:rsidR="005D5B62" w:rsidRDefault="005D5B62">
            <w:pPr>
              <w:rPr>
                <w:rFonts w:ascii="Arial" w:eastAsia="Times New Roman" w:hAnsi="Arial" w:cs="Arial"/>
              </w:rPr>
            </w:pPr>
            <w:r w:rsidRPr="005D5B62">
              <w:rPr>
                <w:rFonts w:ascii="Arial" w:hAnsi="Arial" w:cs="Arial"/>
              </w:rPr>
              <w:t xml:space="preserve">1 - </w:t>
            </w:r>
            <w:r w:rsidRPr="005D5B62">
              <w:rPr>
                <w:rFonts w:ascii="Arial" w:eastAsia="Times New Roman" w:hAnsi="Arial" w:cs="Arial"/>
              </w:rPr>
              <w:t xml:space="preserve">What is the definition of the “physical asset required for connection” and what is therefore in the CE where the local circuit is much larger than is </w:t>
            </w:r>
            <w:proofErr w:type="gramStart"/>
            <w:r w:rsidRPr="005D5B62">
              <w:rPr>
                <w:rFonts w:ascii="Arial" w:eastAsia="Times New Roman" w:hAnsi="Arial" w:cs="Arial"/>
              </w:rPr>
              <w:t>actually required</w:t>
            </w:r>
            <w:proofErr w:type="gramEnd"/>
            <w:r w:rsidRPr="005D5B62">
              <w:rPr>
                <w:rFonts w:ascii="Arial" w:eastAsia="Times New Roman" w:hAnsi="Arial" w:cs="Arial"/>
              </w:rPr>
              <w:t xml:space="preserve"> by the initial connecting Generator A in anticipation of future capacity needs? (Does the “Gen A” pick up the total cost for that oversized local circuit anyway?)  </w:t>
            </w:r>
          </w:p>
          <w:p w14:paraId="669AEFD9" w14:textId="77777777" w:rsidR="005D5B62" w:rsidRPr="005D5B62" w:rsidRDefault="005D5B62">
            <w:pPr>
              <w:rPr>
                <w:rFonts w:ascii="Arial" w:hAnsi="Arial" w:cs="Arial"/>
              </w:rPr>
            </w:pPr>
          </w:p>
        </w:tc>
        <w:tc>
          <w:tcPr>
            <w:tcW w:w="8528" w:type="dxa"/>
          </w:tcPr>
          <w:p w14:paraId="60F0551C" w14:textId="77777777" w:rsidR="005D5B62" w:rsidRPr="005D5B62" w:rsidRDefault="005D5B62" w:rsidP="005D5B62">
            <w:pPr>
              <w:rPr>
                <w:rFonts w:ascii="Arial" w:hAnsi="Arial" w:cs="Arial"/>
              </w:rPr>
            </w:pPr>
            <w:r w:rsidRPr="005D5B62">
              <w:rPr>
                <w:rFonts w:ascii="Arial" w:eastAsia="Times New Roman" w:hAnsi="Arial" w:cs="Arial"/>
                <w:bCs/>
              </w:rPr>
              <w:t>The local circuit charges associated with ‘Gen A’ would be based on the TEC of that generator not the total costs of the assets themselves. This is covered in point 7 of the business rules draft document where it details how charges are calculated for NPEA (those in the Connection Exclusion) using TEC etc</w:t>
            </w:r>
          </w:p>
        </w:tc>
      </w:tr>
      <w:tr w:rsidR="005D5B62" w14:paraId="109D93B7" w14:textId="77777777" w:rsidTr="005D5B62">
        <w:tc>
          <w:tcPr>
            <w:tcW w:w="5949" w:type="dxa"/>
          </w:tcPr>
          <w:p w14:paraId="72852F34" w14:textId="77777777" w:rsidR="005D5B62" w:rsidRDefault="005D5B62">
            <w:pPr>
              <w:rPr>
                <w:rFonts w:ascii="Arial" w:eastAsia="Times New Roman" w:hAnsi="Arial" w:cs="Arial"/>
              </w:rPr>
            </w:pPr>
            <w:r w:rsidRPr="005D5B62">
              <w:rPr>
                <w:rFonts w:ascii="Arial" w:eastAsia="Times New Roman" w:hAnsi="Arial" w:cs="Arial"/>
              </w:rPr>
              <w:t>2 - What happens to a CE amount of a Gen A if the actual local circuit tariff changes?</w:t>
            </w:r>
          </w:p>
          <w:p w14:paraId="7A70C404" w14:textId="77777777" w:rsidR="005D5B62" w:rsidRPr="005D5B62" w:rsidRDefault="005D5B62">
            <w:pPr>
              <w:rPr>
                <w:rFonts w:ascii="Arial" w:hAnsi="Arial" w:cs="Arial"/>
              </w:rPr>
            </w:pPr>
          </w:p>
        </w:tc>
        <w:tc>
          <w:tcPr>
            <w:tcW w:w="8528" w:type="dxa"/>
          </w:tcPr>
          <w:p w14:paraId="531CBD78" w14:textId="77777777" w:rsidR="005D5B62" w:rsidRPr="005D5B62" w:rsidRDefault="005D5B62">
            <w:pPr>
              <w:rPr>
                <w:rFonts w:ascii="Arial" w:hAnsi="Arial" w:cs="Arial"/>
              </w:rPr>
            </w:pPr>
            <w:r w:rsidRPr="005D5B62">
              <w:rPr>
                <w:rFonts w:ascii="Arial" w:eastAsia="Times New Roman" w:hAnsi="Arial" w:cs="Arial"/>
                <w:bCs/>
              </w:rPr>
              <w:t xml:space="preserve">If those assets are still in the Connection </w:t>
            </w:r>
            <w:proofErr w:type="gramStart"/>
            <w:r w:rsidRPr="005D5B62">
              <w:rPr>
                <w:rFonts w:ascii="Arial" w:eastAsia="Times New Roman" w:hAnsi="Arial" w:cs="Arial"/>
                <w:bCs/>
              </w:rPr>
              <w:t>Exclusion</w:t>
            </w:r>
            <w:proofErr w:type="gramEnd"/>
            <w:r w:rsidRPr="005D5B62">
              <w:rPr>
                <w:rFonts w:ascii="Arial" w:eastAsia="Times New Roman" w:hAnsi="Arial" w:cs="Arial"/>
                <w:bCs/>
              </w:rPr>
              <w:t xml:space="preserve"> then the new local charge (calculated annually) will go into the Connection Exclusion pot</w:t>
            </w:r>
          </w:p>
        </w:tc>
      </w:tr>
      <w:tr w:rsidR="005D5B62" w14:paraId="462D655B" w14:textId="77777777" w:rsidTr="005D5B62">
        <w:tc>
          <w:tcPr>
            <w:tcW w:w="5949" w:type="dxa"/>
          </w:tcPr>
          <w:p w14:paraId="08389545" w14:textId="77777777" w:rsidR="005D5B62" w:rsidRPr="005D5B62" w:rsidRDefault="005D5B62">
            <w:pPr>
              <w:rPr>
                <w:rFonts w:ascii="Arial" w:hAnsi="Arial" w:cs="Arial"/>
              </w:rPr>
            </w:pPr>
            <w:r w:rsidRPr="005D5B62">
              <w:rPr>
                <w:rFonts w:ascii="Arial" w:hAnsi="Arial" w:cs="Arial"/>
              </w:rPr>
              <w:t xml:space="preserve">3 - </w:t>
            </w:r>
            <w:r w:rsidRPr="005D5B62">
              <w:rPr>
                <w:rFonts w:ascii="Arial" w:eastAsia="Times New Roman" w:hAnsi="Arial" w:cs="Arial"/>
              </w:rPr>
              <w:t xml:space="preserve">What happens to a CE amount of a Gen A if the local circuit later becomes </w:t>
            </w:r>
            <w:proofErr w:type="gramStart"/>
            <w:r w:rsidRPr="005D5B62">
              <w:rPr>
                <w:rFonts w:ascii="Arial" w:eastAsia="Times New Roman" w:hAnsi="Arial" w:cs="Arial"/>
              </w:rPr>
              <w:t>by definition part</w:t>
            </w:r>
            <w:proofErr w:type="gramEnd"/>
            <w:r w:rsidRPr="005D5B62">
              <w:rPr>
                <w:rFonts w:ascii="Arial" w:eastAsia="Times New Roman" w:hAnsi="Arial" w:cs="Arial"/>
              </w:rPr>
              <w:t xml:space="preserve"> of the NETs (e.g. others connect too)</w:t>
            </w:r>
          </w:p>
        </w:tc>
        <w:tc>
          <w:tcPr>
            <w:tcW w:w="8528" w:type="dxa"/>
          </w:tcPr>
          <w:p w14:paraId="7DC33DF9" w14:textId="77777777" w:rsidR="005D5B62" w:rsidRPr="005D5B62" w:rsidRDefault="005D5B62">
            <w:pPr>
              <w:rPr>
                <w:rFonts w:ascii="Arial" w:hAnsi="Arial" w:cs="Arial"/>
              </w:rPr>
            </w:pPr>
            <w:r w:rsidRPr="005D5B62">
              <w:rPr>
                <w:rFonts w:ascii="Arial" w:eastAsia="Times New Roman" w:hAnsi="Arial" w:cs="Arial"/>
                <w:bCs/>
              </w:rPr>
              <w:t xml:space="preserve">For ‘Gen A’ that amount </w:t>
            </w:r>
            <w:proofErr w:type="gramStart"/>
            <w:r w:rsidRPr="005D5B62">
              <w:rPr>
                <w:rFonts w:ascii="Arial" w:eastAsia="Times New Roman" w:hAnsi="Arial" w:cs="Arial"/>
                <w:bCs/>
              </w:rPr>
              <w:t>still remains</w:t>
            </w:r>
            <w:proofErr w:type="gramEnd"/>
            <w:r w:rsidRPr="005D5B62">
              <w:rPr>
                <w:rFonts w:ascii="Arial" w:eastAsia="Times New Roman" w:hAnsi="Arial" w:cs="Arial"/>
                <w:bCs/>
              </w:rPr>
              <w:t xml:space="preserve"> as part of the Connection Exclusion. For other generators that subsequently connect, their associated charge would be classed as Pre-existing as the circuit already existed at the point they wished to connect. Unless upgrades were required for those generators to connect which would then fall into the Connection Exclusion (as an upgrade was required for them to </w:t>
            </w:r>
            <w:proofErr w:type="gramStart"/>
            <w:r w:rsidRPr="005D5B62">
              <w:rPr>
                <w:rFonts w:ascii="Arial" w:eastAsia="Times New Roman" w:hAnsi="Arial" w:cs="Arial"/>
                <w:bCs/>
              </w:rPr>
              <w:t>actually connect</w:t>
            </w:r>
            <w:proofErr w:type="gramEnd"/>
            <w:r w:rsidRPr="005D5B62">
              <w:rPr>
                <w:rFonts w:ascii="Arial" w:eastAsia="Times New Roman" w:hAnsi="Arial" w:cs="Arial"/>
                <w:bCs/>
              </w:rPr>
              <w:t>). This should link to point 6 of business rules draft document which talks about upgrades going in the NPEA pot.</w:t>
            </w:r>
          </w:p>
        </w:tc>
      </w:tr>
      <w:tr w:rsidR="005D5B62" w14:paraId="67B49C7F" w14:textId="77777777" w:rsidTr="005D5B62">
        <w:tc>
          <w:tcPr>
            <w:tcW w:w="5949" w:type="dxa"/>
          </w:tcPr>
          <w:p w14:paraId="56961D1D" w14:textId="77777777" w:rsidR="005D5B62" w:rsidRPr="005D5B62" w:rsidRDefault="005D5B62" w:rsidP="005D5B62">
            <w:pPr>
              <w:pStyle w:val="xmsolistparagraph"/>
              <w:ind w:left="0"/>
              <w:rPr>
                <w:rFonts w:ascii="Arial" w:eastAsia="Times New Roman" w:hAnsi="Arial" w:cs="Arial"/>
              </w:rPr>
            </w:pPr>
            <w:r w:rsidRPr="005D5B62">
              <w:rPr>
                <w:rFonts w:ascii="Arial" w:hAnsi="Arial" w:cs="Arial"/>
              </w:rPr>
              <w:t xml:space="preserve">4 - </w:t>
            </w:r>
            <w:r w:rsidRPr="005D5B62">
              <w:rPr>
                <w:rFonts w:ascii="Arial" w:eastAsia="Times New Roman" w:hAnsi="Arial" w:cs="Arial"/>
              </w:rPr>
              <w:t>What happens if a NETs transmission line becomes a local circuit and Gen A starts to pay local circuit charges on it where:</w:t>
            </w:r>
          </w:p>
          <w:p w14:paraId="57E7BF32" w14:textId="77777777" w:rsidR="005D5B62" w:rsidRPr="005D5B62" w:rsidRDefault="005D5B62" w:rsidP="005D5B62">
            <w:pPr>
              <w:pStyle w:val="ListParagraph"/>
              <w:numPr>
                <w:ilvl w:val="0"/>
                <w:numId w:val="2"/>
              </w:numPr>
              <w:rPr>
                <w:rFonts w:ascii="Arial" w:hAnsi="Arial" w:cs="Arial"/>
              </w:rPr>
            </w:pPr>
            <w:r w:rsidRPr="005D5B62">
              <w:rPr>
                <w:rFonts w:ascii="Arial" w:eastAsia="Times New Roman" w:hAnsi="Arial" w:cs="Arial"/>
              </w:rPr>
              <w:t xml:space="preserve"> Gen A doesn’t trigger reinforcements?</w:t>
            </w:r>
          </w:p>
          <w:p w14:paraId="709EBCF3" w14:textId="77777777" w:rsidR="005D5B62" w:rsidRPr="005D5B62" w:rsidRDefault="005D5B62" w:rsidP="005D5B62">
            <w:pPr>
              <w:pStyle w:val="ListParagraph"/>
              <w:numPr>
                <w:ilvl w:val="0"/>
                <w:numId w:val="2"/>
              </w:numPr>
              <w:rPr>
                <w:rFonts w:ascii="Arial" w:hAnsi="Arial" w:cs="Arial"/>
              </w:rPr>
            </w:pPr>
            <w:r w:rsidRPr="005D5B62">
              <w:rPr>
                <w:rFonts w:ascii="Arial" w:eastAsia="Times New Roman" w:hAnsi="Arial" w:cs="Arial"/>
              </w:rPr>
              <w:t>Gen A does trigger reinforcements?</w:t>
            </w:r>
          </w:p>
          <w:p w14:paraId="14C3A3AD" w14:textId="77777777" w:rsidR="005D5B62" w:rsidRPr="005D5B62" w:rsidRDefault="005D5B62" w:rsidP="005D5B62">
            <w:pPr>
              <w:pStyle w:val="ListParagraph"/>
              <w:rPr>
                <w:rFonts w:ascii="Arial" w:hAnsi="Arial" w:cs="Arial"/>
              </w:rPr>
            </w:pPr>
          </w:p>
        </w:tc>
        <w:tc>
          <w:tcPr>
            <w:tcW w:w="8528" w:type="dxa"/>
          </w:tcPr>
          <w:p w14:paraId="0EF2CFE5" w14:textId="77777777" w:rsidR="005D5B62" w:rsidRPr="005D5B62" w:rsidRDefault="005D5B62">
            <w:pPr>
              <w:rPr>
                <w:rFonts w:ascii="Arial" w:eastAsia="Times New Roman" w:hAnsi="Arial" w:cs="Arial"/>
                <w:bCs/>
              </w:rPr>
            </w:pPr>
            <w:bookmarkStart w:id="0" w:name="_GoBack"/>
            <w:bookmarkEnd w:id="0"/>
            <w:r w:rsidRPr="005D5B62">
              <w:rPr>
                <w:rFonts w:ascii="Arial" w:eastAsia="Times New Roman" w:hAnsi="Arial" w:cs="Arial"/>
                <w:bCs/>
              </w:rPr>
              <w:t>As no upgrade is required this would be classed as a PEA</w:t>
            </w:r>
          </w:p>
          <w:p w14:paraId="141E411C" w14:textId="77777777" w:rsidR="005D5B62" w:rsidRPr="005D5B62" w:rsidRDefault="005D5B62">
            <w:pPr>
              <w:rPr>
                <w:rFonts w:ascii="Arial" w:hAnsi="Arial" w:cs="Arial"/>
              </w:rPr>
            </w:pPr>
            <w:r w:rsidRPr="005D5B62">
              <w:rPr>
                <w:rFonts w:ascii="Arial" w:eastAsia="Times New Roman" w:hAnsi="Arial" w:cs="Arial"/>
                <w:bCs/>
              </w:rPr>
              <w:t>Reinforcement/upgrade element would form part of the Connection Exclusion and the original asset charges would then be classed as PEA  </w:t>
            </w:r>
          </w:p>
        </w:tc>
      </w:tr>
      <w:tr w:rsidR="005D5B62" w14:paraId="11C60087" w14:textId="77777777" w:rsidTr="005D5B62">
        <w:tc>
          <w:tcPr>
            <w:tcW w:w="5949" w:type="dxa"/>
          </w:tcPr>
          <w:p w14:paraId="16E49F5D" w14:textId="77777777" w:rsidR="005D5B62" w:rsidRDefault="005D5B62">
            <w:pPr>
              <w:rPr>
                <w:rFonts w:ascii="Arial" w:eastAsia="Times New Roman" w:hAnsi="Arial" w:cs="Arial"/>
              </w:rPr>
            </w:pPr>
            <w:r w:rsidRPr="005D5B62">
              <w:rPr>
                <w:rFonts w:ascii="Arial" w:eastAsia="Times New Roman" w:hAnsi="Arial" w:cs="Arial"/>
              </w:rPr>
              <w:t>5 - What happens when Gen A reduces it’s TEC and other generators can use /pay for that existing capacity?</w:t>
            </w:r>
          </w:p>
          <w:p w14:paraId="5BC2637D" w14:textId="77777777" w:rsidR="005D5B62" w:rsidRPr="005D5B62" w:rsidRDefault="005D5B62">
            <w:pPr>
              <w:rPr>
                <w:rFonts w:ascii="Arial" w:hAnsi="Arial" w:cs="Arial"/>
              </w:rPr>
            </w:pPr>
          </w:p>
        </w:tc>
        <w:tc>
          <w:tcPr>
            <w:tcW w:w="8528" w:type="dxa"/>
          </w:tcPr>
          <w:p w14:paraId="4B6F8ECC" w14:textId="77777777" w:rsidR="005D5B62" w:rsidRPr="005D5B62" w:rsidRDefault="005D5B62">
            <w:pPr>
              <w:rPr>
                <w:rFonts w:ascii="Arial" w:hAnsi="Arial" w:cs="Arial"/>
              </w:rPr>
            </w:pPr>
            <w:r w:rsidRPr="005D5B62">
              <w:rPr>
                <w:rFonts w:ascii="Arial" w:eastAsia="Times New Roman" w:hAnsi="Arial" w:cs="Arial"/>
                <w:bCs/>
              </w:rPr>
              <w:t>The other generators would be utilising/connecting to an asset already there so the charges associated with those generators would be classed as PEA</w:t>
            </w:r>
          </w:p>
        </w:tc>
      </w:tr>
      <w:tr w:rsidR="005D5B62" w14:paraId="4FBA6EE4" w14:textId="77777777" w:rsidTr="005D5B62">
        <w:tc>
          <w:tcPr>
            <w:tcW w:w="5949" w:type="dxa"/>
          </w:tcPr>
          <w:p w14:paraId="740EFB67" w14:textId="77777777" w:rsidR="005D5B62" w:rsidRDefault="005D5B62">
            <w:pPr>
              <w:rPr>
                <w:rFonts w:ascii="Arial" w:eastAsia="Times New Roman" w:hAnsi="Arial" w:cs="Arial"/>
              </w:rPr>
            </w:pPr>
            <w:r w:rsidRPr="005D5B62">
              <w:rPr>
                <w:rFonts w:ascii="Arial" w:hAnsi="Arial" w:cs="Arial"/>
              </w:rPr>
              <w:t xml:space="preserve">6 - </w:t>
            </w:r>
            <w:r w:rsidRPr="005D5B62">
              <w:rPr>
                <w:rFonts w:ascii="Arial" w:eastAsia="Times New Roman" w:hAnsi="Arial" w:cs="Arial"/>
              </w:rPr>
              <w:t>What is the identity of Gen A and at what point do they no longer exist (and therefore there be no CE at all for that circuit because the asset is pre-existing)?</w:t>
            </w:r>
          </w:p>
          <w:p w14:paraId="7DCF9FBE" w14:textId="77777777" w:rsidR="005D5B62" w:rsidRPr="005D5B62" w:rsidRDefault="005D5B62">
            <w:pPr>
              <w:rPr>
                <w:rFonts w:ascii="Arial" w:hAnsi="Arial" w:cs="Arial"/>
              </w:rPr>
            </w:pPr>
          </w:p>
        </w:tc>
        <w:tc>
          <w:tcPr>
            <w:tcW w:w="8528" w:type="dxa"/>
          </w:tcPr>
          <w:p w14:paraId="213029A5" w14:textId="77777777" w:rsidR="005D5B62" w:rsidRPr="005D5B62" w:rsidRDefault="005D5B62">
            <w:pPr>
              <w:rPr>
                <w:rFonts w:ascii="Arial" w:hAnsi="Arial" w:cs="Arial"/>
              </w:rPr>
            </w:pPr>
            <w:r w:rsidRPr="005D5B62">
              <w:rPr>
                <w:rFonts w:ascii="Arial" w:eastAsia="Times New Roman" w:hAnsi="Arial" w:cs="Arial"/>
                <w:bCs/>
              </w:rPr>
              <w:t>Suggest this is part of WG conversation/discussion i.e. should classification of assets be based on the ownership of a generator or not.</w:t>
            </w:r>
          </w:p>
        </w:tc>
      </w:tr>
      <w:tr w:rsidR="005D5B62" w14:paraId="28E62683" w14:textId="77777777" w:rsidTr="005D5B62">
        <w:tc>
          <w:tcPr>
            <w:tcW w:w="5949" w:type="dxa"/>
          </w:tcPr>
          <w:p w14:paraId="3E3CF366" w14:textId="77777777" w:rsidR="005D5B62" w:rsidRPr="005D5B62" w:rsidRDefault="005D5B62">
            <w:pPr>
              <w:rPr>
                <w:rFonts w:ascii="Arial" w:hAnsi="Arial" w:cs="Arial"/>
              </w:rPr>
            </w:pPr>
            <w:r w:rsidRPr="005D5B62">
              <w:rPr>
                <w:rFonts w:ascii="Arial" w:hAnsi="Arial" w:cs="Arial"/>
              </w:rPr>
              <w:t xml:space="preserve">7 - </w:t>
            </w:r>
            <w:r w:rsidRPr="005D5B62">
              <w:rPr>
                <w:rFonts w:ascii="Arial" w:eastAsia="Times New Roman" w:hAnsi="Arial" w:cs="Arial"/>
              </w:rPr>
              <w:t xml:space="preserve">Does the CE for a </w:t>
            </w:r>
            <w:proofErr w:type="gramStart"/>
            <w:r w:rsidRPr="005D5B62">
              <w:rPr>
                <w:rFonts w:ascii="Arial" w:eastAsia="Times New Roman" w:hAnsi="Arial" w:cs="Arial"/>
              </w:rPr>
              <w:t>particular circuit</w:t>
            </w:r>
            <w:proofErr w:type="gramEnd"/>
            <w:r w:rsidRPr="005D5B62">
              <w:rPr>
                <w:rFonts w:ascii="Arial" w:eastAsia="Times New Roman" w:hAnsi="Arial" w:cs="Arial"/>
              </w:rPr>
              <w:t xml:space="preserve"> ever change between entities or site/location?</w:t>
            </w:r>
          </w:p>
        </w:tc>
        <w:tc>
          <w:tcPr>
            <w:tcW w:w="8528" w:type="dxa"/>
          </w:tcPr>
          <w:p w14:paraId="43527056" w14:textId="77777777" w:rsidR="005D5B62" w:rsidRPr="005D5B62" w:rsidRDefault="005D5B62" w:rsidP="005D5B62">
            <w:pPr>
              <w:pStyle w:val="xmsolistparagraph"/>
              <w:ind w:left="0"/>
              <w:rPr>
                <w:rFonts w:ascii="Arial" w:eastAsia="Times New Roman" w:hAnsi="Arial" w:cs="Arial"/>
              </w:rPr>
            </w:pPr>
            <w:r w:rsidRPr="005D5B62">
              <w:rPr>
                <w:rFonts w:ascii="Arial" w:eastAsia="Times New Roman" w:hAnsi="Arial" w:cs="Arial"/>
                <w:bCs/>
              </w:rPr>
              <w:t>Need further detail/example to determine if PEA or CE</w:t>
            </w:r>
            <w:r w:rsidRPr="005D5B62">
              <w:rPr>
                <w:rFonts w:ascii="Arial" w:eastAsia="Times New Roman" w:hAnsi="Arial" w:cs="Arial"/>
              </w:rPr>
              <w:t xml:space="preserve"> </w:t>
            </w:r>
          </w:p>
          <w:p w14:paraId="4CAC7CBE" w14:textId="77777777" w:rsidR="005D5B62" w:rsidRPr="005D5B62" w:rsidRDefault="005D5B62" w:rsidP="005D5B62">
            <w:pPr>
              <w:pStyle w:val="xmsonormal"/>
              <w:rPr>
                <w:rFonts w:ascii="Arial" w:hAnsi="Arial" w:cs="Arial"/>
              </w:rPr>
            </w:pPr>
            <w:r w:rsidRPr="005D5B62">
              <w:rPr>
                <w:rFonts w:ascii="Arial" w:hAnsi="Arial" w:cs="Arial"/>
              </w:rPr>
              <w:t> </w:t>
            </w:r>
          </w:p>
          <w:p w14:paraId="103A5546" w14:textId="77777777" w:rsidR="005D5B62" w:rsidRPr="005D5B62" w:rsidRDefault="005D5B62">
            <w:pPr>
              <w:rPr>
                <w:rFonts w:ascii="Arial" w:hAnsi="Arial" w:cs="Arial"/>
              </w:rPr>
            </w:pPr>
          </w:p>
        </w:tc>
      </w:tr>
    </w:tbl>
    <w:p w14:paraId="20603F64" w14:textId="77777777" w:rsidR="004023E6" w:rsidRDefault="004023E6"/>
    <w:sectPr w:rsidR="004023E6" w:rsidSect="005D5B6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E244F5"/>
    <w:multiLevelType w:val="multilevel"/>
    <w:tmpl w:val="64F236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A08088C"/>
    <w:multiLevelType w:val="hybridMultilevel"/>
    <w:tmpl w:val="078CF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B62"/>
    <w:rsid w:val="004023E6"/>
    <w:rsid w:val="005D5B62"/>
    <w:rsid w:val="006C0DDA"/>
    <w:rsid w:val="00CC4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BEC29"/>
  <w15:chartTrackingRefBased/>
  <w15:docId w15:val="{756CF283-8759-46C8-B430-C20FC0C14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5B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rsid w:val="005D5B62"/>
    <w:pPr>
      <w:spacing w:after="0" w:line="240" w:lineRule="auto"/>
      <w:ind w:left="720"/>
    </w:pPr>
    <w:rPr>
      <w:rFonts w:ascii="Calibri" w:hAnsi="Calibri" w:cs="Calibri"/>
      <w:lang w:eastAsia="en-GB"/>
    </w:rPr>
  </w:style>
  <w:style w:type="paragraph" w:styleId="ListParagraph">
    <w:name w:val="List Paragraph"/>
    <w:basedOn w:val="Normal"/>
    <w:uiPriority w:val="34"/>
    <w:qFormat/>
    <w:rsid w:val="005D5B62"/>
    <w:pPr>
      <w:ind w:left="720"/>
      <w:contextualSpacing/>
    </w:pPr>
  </w:style>
  <w:style w:type="paragraph" w:customStyle="1" w:styleId="xmsonormal">
    <w:name w:val="x_msonormal"/>
    <w:basedOn w:val="Normal"/>
    <w:rsid w:val="005D5B62"/>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784228">
      <w:bodyDiv w:val="1"/>
      <w:marLeft w:val="0"/>
      <w:marRight w:val="0"/>
      <w:marTop w:val="0"/>
      <w:marBottom w:val="0"/>
      <w:divBdr>
        <w:top w:val="none" w:sz="0" w:space="0" w:color="auto"/>
        <w:left w:val="none" w:sz="0" w:space="0" w:color="auto"/>
        <w:bottom w:val="none" w:sz="0" w:space="0" w:color="auto"/>
        <w:right w:val="none" w:sz="0" w:space="0" w:color="auto"/>
      </w:divBdr>
    </w:div>
    <w:div w:id="206710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B57949-CB90-4F3E-8053-81780A502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5DE558-C631-4B54-87FA-32192FF722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CB620E-D771-4103-901E-0CF2DBE835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CMP306</dc:creator>
  <cp:keywords/>
  <dc:description/>
  <cp:lastModifiedBy>Groome (ESO), Jennifer</cp:lastModifiedBy>
  <cp:revision>3</cp:revision>
  <dcterms:created xsi:type="dcterms:W3CDTF">2021-05-26T10:55:00Z</dcterms:created>
  <dcterms:modified xsi:type="dcterms:W3CDTF">2021-05-26T12:11:00Z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